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28"/>
          <w:szCs w:val="28"/>
        </w:rPr>
      </w:pPr>
      <w:r w:rsidDel="00000000" w:rsidR="00000000" w:rsidRPr="00000000">
        <w:rPr>
          <w:b w:val="1"/>
          <w:bCs w:val="1"/>
          <w:sz w:val="28"/>
          <w:szCs w:val="28"/>
          <w:rtl w:val="0"/>
        </w:rPr>
        <w:t xml:space="preserve">RAD ART FAIR 2026: ANUNȚĂ PARTICIPAREA A 31 DE GALERII</w:t>
      </w:r>
    </w:p>
    <w:p w:rsidR="00000000" w:rsidDel="00000000" w:rsidP="00000000" w:rsidRDefault="00000000" w:rsidRPr="00000000" w14:paraId="00000002">
      <w:pPr>
        <w:jc w:val="center"/>
        <w:rPr>
          <w:b w:val="1"/>
          <w:bCs w:val="1"/>
          <w:sz w:val="28"/>
          <w:szCs w:val="28"/>
        </w:rPr>
      </w:pPr>
      <w:r w:rsidDel="00000000" w:rsidR="00000000" w:rsidRPr="00000000">
        <w:rPr>
          <w:b w:val="1"/>
          <w:bCs w:val="1"/>
          <w:sz w:val="28"/>
          <w:szCs w:val="28"/>
          <w:rtl w:val="0"/>
        </w:rPr>
        <w:t xml:space="preserve">maturizarea ecosistemului de artă contemporană</w:t>
        <w:br w:type="textWrapping"/>
        <w:t xml:space="preserve">dialog global la București</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RAD Art Fair, devenit cel mai important punct de întâlnire al scenei și pieței de artă contemporană emergentă din România, își anunță ediția patru din 2026, care va avea loc între 23 și 26 aprilie, la CARO București.</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În plină expansiune, RAD Art Fair reunește anul acesta 31 de galerii, marcând atât o creștere semnificativă a ecosistemului local, cât și deschiderea continuă către scena internațională. Timp de patru zile, CARO găzduiește un eveniment care pune în dialog artiști, galerii, curatori, colecționari și publicul curios, într-un format care combină expoziții, performance-uri, talk-uri, și experiențe interactive.</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Deși RAD poartă eticheta de târg, fiind gândit după modelul fair-urilor internaționale, formatul său depășește granițele unei simple tranzacții comerciale, fiind mai degrabă un eveniment cultural dedicat artelor vizuale contemporane. RAD este o invitație deschisă pentru oricine dorește să înțeleagă pulsul prezentului, devenind o experiență care democratizează accesul la arta momentului, aducând laolaltă nume istorice și maeștri consacrați alături de cele mai proaspete și relevante voci ale tinerei generații de artiști.</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RAD este despre mișcare continuă, motiv pentru care structura “fair-ului” s-a modificat organic, crescând, învățând și evoluând cu fiecare ediție. În 2026, trei galerii au făcut tranziția din sectorul PLATFORM (zona dedicată debutului și mentoratului) spre  secțiunea GALLERIES a târgului care unește cele mai importante galerii din România, alături de o selecție relevantă de galerii internaționale, noua structură reflectând maturizarea scenei locale de artă. În locul lor, trei spații noi din București și Eforie își fac intrarea în circuit, păstrând proaspătă energia sectorului emergent.</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Ediția 2026 extinde harta atât la nivel local, cât și internațional, prin includerea a șapte galerii pentru prima oară la RAD, precum liderii de piață Einspach &amp; Czapolai (Budapesta) și trendsetterii de la Tabula Rasa (Beijing &amp; Londra), dar și S.L.S.R.L., un spațiu bucureștean care și-a deschis ușile chiar în această lună.</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spacing w:after="40" w:lineRule="auto"/>
        <w:rPr>
          <w:b w:val="1"/>
          <w:bCs w:val="1"/>
          <w:sz w:val="24"/>
          <w:szCs w:val="24"/>
        </w:rPr>
      </w:pPr>
      <w:r w:rsidDel="00000000" w:rsidR="00000000" w:rsidRPr="00000000">
        <w:rPr>
          <w:rtl w:val="0"/>
        </w:rPr>
      </w:r>
    </w:p>
    <w:p w:rsidR="00000000" w:rsidDel="00000000" w:rsidP="00000000" w:rsidRDefault="00000000" w:rsidRPr="00000000" w14:paraId="00000010">
      <w:pPr>
        <w:spacing w:after="40" w:lineRule="auto"/>
        <w:rPr>
          <w:b w:val="1"/>
          <w:bCs w:val="1"/>
          <w:sz w:val="24"/>
          <w:szCs w:val="24"/>
        </w:rPr>
      </w:pPr>
      <w:r w:rsidDel="00000000" w:rsidR="00000000" w:rsidRPr="00000000">
        <w:rPr>
          <w:b w:val="1"/>
          <w:bCs w:val="1"/>
          <w:sz w:val="24"/>
          <w:szCs w:val="24"/>
          <w:rtl w:val="0"/>
        </w:rPr>
        <w:t xml:space="preserve">Secțiunea GALLERIES</w:t>
      </w:r>
    </w:p>
    <w:p w:rsidR="00000000" w:rsidDel="00000000" w:rsidP="00000000" w:rsidRDefault="00000000" w:rsidRPr="00000000" w14:paraId="00000011">
      <w:pPr>
        <w:rPr>
          <w:sz w:val="24"/>
          <w:szCs w:val="24"/>
        </w:rPr>
      </w:pPr>
      <w:r w:rsidDel="00000000" w:rsidR="00000000" w:rsidRPr="00000000">
        <w:rPr>
          <w:sz w:val="24"/>
          <w:szCs w:val="24"/>
          <w:rtl w:val="0"/>
        </w:rPr>
        <w:t xml:space="preserve">418 Gallery, München &amp; Dolj</w:t>
        <w:br w:type="textWrapping"/>
        <w:t xml:space="preserve">Biju, Cluj</w:t>
        <w:br w:type="textWrapping"/>
        <w:t xml:space="preserve">Einspach &amp; Czapolai, Budapesta</w:t>
        <w:br w:type="textWrapping"/>
        <w:t xml:space="preserve">G15 Design, București</w:t>
        <w:br w:type="textWrapping"/>
        <w:t xml:space="preserve">Gaep, București</w:t>
        <w:br w:type="textWrapping"/>
        <w:t xml:space="preserve">Gloriæ, Craiova</w:t>
        <w:br w:type="textWrapping"/>
        <w:t xml:space="preserve">H’art, București</w:t>
        <w:br w:type="textWrapping"/>
        <w:t xml:space="preserve">Ivan, București</w:t>
        <w:br w:type="textWrapping"/>
        <w:t xml:space="preserve">Jecza, Timișoara &amp; București</w:t>
        <w:br w:type="textWrapping"/>
        <w:t xml:space="preserve">Laborna, București</w:t>
        <w:br w:type="textWrapping"/>
        <w:t xml:space="preserve">Lutnița, Chișinău</w:t>
      </w:r>
    </w:p>
    <w:p w:rsidR="00000000" w:rsidDel="00000000" w:rsidP="00000000" w:rsidRDefault="00000000" w:rsidRPr="00000000" w14:paraId="00000012">
      <w:pPr>
        <w:rPr>
          <w:sz w:val="24"/>
          <w:szCs w:val="24"/>
        </w:rPr>
      </w:pPr>
      <w:r w:rsidDel="00000000" w:rsidR="00000000" w:rsidRPr="00000000">
        <w:rPr>
          <w:sz w:val="24"/>
          <w:szCs w:val="24"/>
          <w:rtl w:val="0"/>
        </w:rPr>
        <w:t xml:space="preserve">NON Art Space, București</w:t>
      </w:r>
    </w:p>
    <w:p w:rsidR="00000000" w:rsidDel="00000000" w:rsidP="00000000" w:rsidRDefault="00000000" w:rsidRPr="00000000" w14:paraId="00000013">
      <w:pPr>
        <w:rPr>
          <w:sz w:val="24"/>
          <w:szCs w:val="24"/>
        </w:rPr>
      </w:pPr>
      <w:r w:rsidDel="00000000" w:rsidR="00000000" w:rsidRPr="00000000">
        <w:rPr>
          <w:sz w:val="24"/>
          <w:szCs w:val="24"/>
          <w:rtl w:val="0"/>
        </w:rPr>
        <w:t xml:space="preserve">Gregor Podnar, Viena</w:t>
        <w:br w:type="textWrapping"/>
        <w:t xml:space="preserve">Galeria Posibilă, București</w:t>
        <w:br w:type="textWrapping"/>
        <w:t xml:space="preserve">Anca Poterașu, București</w:t>
        <w:br w:type="textWrapping"/>
        <w:t xml:space="preserve">Plan B, Berlin &amp; Cluj</w:t>
        <w:br w:type="textWrapping"/>
        <w:t xml:space="preserve">Relicvar, Cluj</w:t>
        <w:br w:type="textWrapping"/>
        <w:t xml:space="preserve">Sabot, Cluj</w:t>
        <w:br w:type="textWrapping"/>
        <w:t xml:space="preserve">/Sac, București</w:t>
        <w:br w:type="textWrapping"/>
        <w:t xml:space="preserve">Sandwich, București</w:t>
        <w:br w:type="textWrapping"/>
        <w:t xml:space="preserve">Sector 1, București</w:t>
        <w:br w:type="textWrapping"/>
        <w:t xml:space="preserve">Solo, București</w:t>
        <w:br w:type="textWrapping"/>
        <w:t xml:space="preserve">Suprainfinit, București</w:t>
        <w:br w:type="textWrapping"/>
        <w:t xml:space="preserve">Catinca Tabacaru, București &amp; Harare</w:t>
        <w:br w:type="textWrapping"/>
        <w:t xml:space="preserve">Tabula Rasa, Beijing &amp; Londra</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spacing w:after="40" w:lineRule="auto"/>
        <w:rPr>
          <w:b w:val="1"/>
          <w:bCs w:val="1"/>
          <w:sz w:val="24"/>
          <w:szCs w:val="24"/>
        </w:rPr>
      </w:pPr>
      <w:r w:rsidDel="00000000" w:rsidR="00000000" w:rsidRPr="00000000">
        <w:rPr>
          <w:b w:val="1"/>
          <w:bCs w:val="1"/>
          <w:sz w:val="24"/>
          <w:szCs w:val="24"/>
          <w:rtl w:val="0"/>
        </w:rPr>
        <w:t xml:space="preserve">Secțiunea PLATFORM</w:t>
      </w:r>
    </w:p>
    <w:p w:rsidR="00000000" w:rsidDel="00000000" w:rsidP="00000000" w:rsidRDefault="00000000" w:rsidRPr="00000000" w14:paraId="00000016">
      <w:pPr>
        <w:rPr>
          <w:sz w:val="24"/>
          <w:szCs w:val="24"/>
        </w:rPr>
      </w:pPr>
      <w:r w:rsidDel="00000000" w:rsidR="00000000" w:rsidRPr="00000000">
        <w:rPr>
          <w:sz w:val="24"/>
          <w:szCs w:val="24"/>
          <w:rtl w:val="0"/>
        </w:rPr>
        <w:t xml:space="preserve">1mp, Eforie</w:t>
        <w:br w:type="textWrapping"/>
        <w:t xml:space="preserve">Atelier 35, București</w:t>
        <w:br w:type="textWrapping"/>
        <w:t xml:space="preserve">Etaj, București</w:t>
        <w:br w:type="textWrapping"/>
        <w:t xml:space="preserve">Himera, Timișoara</w:t>
        <w:br w:type="textWrapping"/>
        <w:t xml:space="preserve">Pharmakon, București</w:t>
        <w:br w:type="textWrapping"/>
        <w:t xml:space="preserve">S.L.S.R.L., București</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b w:val="1"/>
          <w:bCs w:val="1"/>
          <w:sz w:val="24"/>
          <w:szCs w:val="24"/>
        </w:rPr>
      </w:pPr>
      <w:r w:rsidDel="00000000" w:rsidR="00000000" w:rsidRPr="00000000">
        <w:rPr>
          <w:rtl w:val="0"/>
        </w:rPr>
      </w:r>
    </w:p>
    <w:p w:rsidR="00000000" w:rsidDel="00000000" w:rsidP="00000000" w:rsidRDefault="00000000" w:rsidRPr="00000000" w14:paraId="00000019">
      <w:pPr>
        <w:rPr>
          <w:b w:val="1"/>
          <w:bCs w:val="1"/>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b w:val="1"/>
          <w:bCs w:val="1"/>
          <w:sz w:val="24"/>
          <w:szCs w:val="24"/>
          <w:rtl w:val="0"/>
        </w:rPr>
        <w:t xml:space="preserve">Sculpture Park</w:t>
      </w:r>
      <w:r w:rsidDel="00000000" w:rsidR="00000000" w:rsidRPr="00000000">
        <w:rPr>
          <w:sz w:val="24"/>
          <w:szCs w:val="24"/>
          <w:rtl w:val="0"/>
        </w:rPr>
        <w:t xml:space="preserve"> a devenit deja un punct major de interes, dincolo de spațiul galeriilor, continuând să redefinească interacțiunea cu arta, în special în spațiul public. Grădinile de 5.000 mp de pe malul lacului Tei vor fi activate prin instalații de mari dimensiuni, care provoacă limitele arhitecturii, peisajului și corpului.</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b w:val="1"/>
          <w:bCs w:val="1"/>
          <w:sz w:val="24"/>
          <w:szCs w:val="24"/>
          <w:rtl w:val="0"/>
        </w:rPr>
        <w:t xml:space="preserve">RAD Design</w:t>
      </w:r>
      <w:r w:rsidDel="00000000" w:rsidR="00000000" w:rsidRPr="00000000">
        <w:rPr>
          <w:sz w:val="24"/>
          <w:szCs w:val="24"/>
          <w:rtl w:val="0"/>
        </w:rPr>
        <w:t xml:space="preserve">, acum la a treia ediție, este semnat de Ioana Chifu și Onar Stănescu, de la Muromuro Studio, echipa din spatele Pavilionului României la Bienala de Arhitectură de la Veneția 2025. Anda Zota și Elena Viziteu (AÉ02 Studio) revin cu viziunea ambițioasă </w:t>
      </w:r>
      <w:r w:rsidDel="00000000" w:rsidR="00000000" w:rsidRPr="00000000">
        <w:rPr>
          <w:b w:val="1"/>
          <w:bCs w:val="1"/>
          <w:sz w:val="24"/>
          <w:szCs w:val="24"/>
          <w:rtl w:val="0"/>
        </w:rPr>
        <w:t xml:space="preserve">RAD Pavilion</w:t>
      </w:r>
      <w:r w:rsidDel="00000000" w:rsidR="00000000" w:rsidRPr="00000000">
        <w:rPr>
          <w:sz w:val="24"/>
          <w:szCs w:val="24"/>
          <w:rtl w:val="0"/>
        </w:rPr>
        <w:t xml:space="preserve">, spațiul central dedicat performance-urilor, întâlnirilor impromptu și </w:t>
      </w:r>
      <w:r w:rsidDel="00000000" w:rsidR="00000000" w:rsidRPr="00000000">
        <w:rPr>
          <w:b w:val="1"/>
          <w:bCs w:val="1"/>
          <w:sz w:val="24"/>
          <w:szCs w:val="24"/>
          <w:rtl w:val="0"/>
        </w:rPr>
        <w:t xml:space="preserve">RAD Talks</w:t>
      </w:r>
      <w:r w:rsidDel="00000000" w:rsidR="00000000" w:rsidRPr="00000000">
        <w:rPr>
          <w:sz w:val="24"/>
          <w:szCs w:val="24"/>
          <w:rtl w:val="0"/>
        </w:rPr>
        <w:t xml:space="preserve">.</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Romanian Art Dealers (RAD) este condus de co-directoarele artistice Catinca Tabacaru și Daniela Pălimariu. Co-Organizatorii RAD Art Fair se numără printre cele mai relevante galerii de artă contemporană din țară. Proiectul reprezintă o nouă generație de profesioniști dedicați promovării scenei naționale pe harta globală. Co-fondatorii RAD sunt Robert Băjenaru, Matei Călția, Andrei Jecza, Alexandru Niculescu, Daniela Pălimariu, Mihai Pop, Alex Radu, Andreea Stănculescu, Catinca Tabacaru și Suzana Vasilescu.</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drawing>
          <wp:anchor allowOverlap="1" behindDoc="1" distB="114300" distT="114300" distL="114300" distR="114300" hidden="0" layoutInCell="1" locked="0" relativeHeight="0" simplePos="0">
            <wp:simplePos x="0" y="0"/>
            <wp:positionH relativeFrom="margin">
              <wp:posOffset>-142874</wp:posOffset>
            </wp:positionH>
            <wp:positionV relativeFrom="margin">
              <wp:posOffset>7858399</wp:posOffset>
            </wp:positionV>
            <wp:extent cx="7826375" cy="502227"/>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826375" cy="502227"/>
                    </a:xfrm>
                    <a:prstGeom prst="rect"/>
                    <a:ln/>
                  </pic:spPr>
                </pic:pic>
              </a:graphicData>
            </a:graphic>
          </wp:anchor>
        </w:drawing>
      </w:r>
      <w:r w:rsidDel="00000000" w:rsidR="00000000" w:rsidRPr="00000000">
        <w:rPr>
          <w:rtl w:val="0"/>
        </w:rPr>
      </w:r>
    </w:p>
    <w:p w:rsidR="00000000" w:rsidDel="00000000" w:rsidP="00000000" w:rsidRDefault="00000000" w:rsidRPr="00000000" w14:paraId="00000022">
      <w:pPr>
        <w:spacing w:after="160" w:line="259" w:lineRule="auto"/>
        <w:jc w:val="both"/>
        <w:rPr>
          <w:sz w:val="24"/>
          <w:szCs w:val="24"/>
        </w:rPr>
      </w:pPr>
      <w:r w:rsidDel="00000000" w:rsidR="00000000" w:rsidRPr="00000000">
        <w:rPr>
          <w:b w:val="1"/>
          <w:bCs w:val="1"/>
          <w:sz w:val="24"/>
          <w:szCs w:val="24"/>
          <w:rtl w:val="0"/>
        </w:rPr>
        <w:t xml:space="preserve">Contact PR</w:t>
      </w:r>
      <w:r w:rsidDel="00000000" w:rsidR="00000000" w:rsidRPr="00000000">
        <w:rPr>
          <w:rtl w:val="0"/>
        </w:rPr>
      </w:r>
    </w:p>
    <w:p w:rsidR="00000000" w:rsidDel="00000000" w:rsidP="00000000" w:rsidRDefault="00000000" w:rsidRPr="00000000" w14:paraId="00000023">
      <w:pPr>
        <w:spacing w:after="0" w:line="360" w:lineRule="auto"/>
        <w:jc w:val="both"/>
        <w:rPr>
          <w:sz w:val="24"/>
          <w:szCs w:val="24"/>
        </w:rPr>
      </w:pPr>
      <w:r w:rsidDel="00000000" w:rsidR="00000000" w:rsidRPr="00000000">
        <w:rPr>
          <w:sz w:val="24"/>
          <w:szCs w:val="24"/>
          <w:rtl w:val="0"/>
        </w:rPr>
        <w:t xml:space="preserve">Miruna Dragne</w:t>
      </w:r>
      <w:r w:rsidDel="00000000" w:rsidR="00000000" w:rsidRPr="00000000">
        <w:rPr>
          <w:sz w:val="24"/>
          <w:szCs w:val="24"/>
          <w:rtl w:val="0"/>
        </w:rPr>
        <w:br w:type="textWrapping"/>
        <w:t xml:space="preserve">E-mail: </w:t>
      </w:r>
      <w:hyperlink r:id="rId7">
        <w:r w:rsidDel="00000000" w:rsidR="00000000" w:rsidRPr="00000000">
          <w:rPr>
            <w:color w:val="1155cc"/>
            <w:sz w:val="24"/>
            <w:szCs w:val="24"/>
            <w:u w:val="single"/>
            <w:rtl w:val="0"/>
          </w:rPr>
          <w:t xml:space="preserve">press@radartfair.com</w:t>
        </w:r>
      </w:hyperlink>
      <w:r w:rsidDel="00000000" w:rsidR="00000000" w:rsidRPr="00000000">
        <w:rPr>
          <w:rtl w:val="0"/>
        </w:rPr>
      </w:r>
    </w:p>
    <w:p w:rsidR="00000000" w:rsidDel="00000000" w:rsidP="00000000" w:rsidRDefault="00000000" w:rsidRPr="00000000" w14:paraId="00000024">
      <w:pPr>
        <w:spacing w:after="0" w:line="276" w:lineRule="auto"/>
        <w:jc w:val="both"/>
        <w:rPr>
          <w:sz w:val="24"/>
          <w:szCs w:val="24"/>
        </w:rPr>
      </w:pPr>
      <w:r w:rsidDel="00000000" w:rsidR="00000000" w:rsidRPr="00000000">
        <w:rPr>
          <w:sz w:val="24"/>
          <w:szCs w:val="24"/>
          <w:rtl w:val="0"/>
        </w:rPr>
        <w:t xml:space="preserve">Telefon: +40 752 228 830</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rPr/>
    </w:pPr>
    <w:r w:rsidDel="00000000" w:rsidR="00000000" w:rsidRPr="00000000">
      <w:rPr/>
      <w:pict>
        <v:shape id="WordPictureWatermark1" style="position:absolute;width:468.0pt;height:468.0pt;rotation:0;z-index:-503316481;mso-position-horizontal-relative:margin;mso-position-horizontal:center;mso-position-vertical-relative:margin;mso-position-vertical:center;" alt="" type="#_x0000_t75">
          <v:imagedata blacklevel="22938f" cropbottom="0f" cropleft="0f" cropright="0f" croptop="0f" gain="19661f" r:id="rId1" o:title="image3.png"/>
        </v:shape>
      </w:pict>
    </w:r>
    <w:r w:rsidDel="00000000" w:rsidR="00000000" w:rsidRPr="00000000">
      <w:rPr/>
      <w:drawing>
        <wp:inline distB="114300" distT="114300" distL="114300" distR="114300">
          <wp:extent cx="1468773" cy="1113425"/>
          <wp:effectExtent b="0" l="0" r="0" t="0"/>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68773" cy="11134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ss@radartfai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